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ab/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color w:val="auto"/>
          <w:position w:val="0"/>
          <w:sz w:val="44"/>
          <w:szCs w:val="44"/>
          <w:rFonts w:ascii="隶书" w:eastAsia="隶书" w:hAnsi="隶书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color w:val="auto"/>
          <w:position w:val="0"/>
          <w:sz w:val="48"/>
          <w:szCs w:val="48"/>
          <w:rFonts w:ascii="隶书" w:eastAsia="隶书" w:hAnsi="隶书" w:hint="default"/>
        </w:rPr>
        <w:autoSpaceDE w:val="1"/>
        <w:autoSpaceDN w:val="1"/>
      </w:pPr>
      <w:r>
        <w:rPr>
          <w:color w:val="auto"/>
          <w:position w:val="0"/>
          <w:sz w:val="48"/>
          <w:szCs w:val="48"/>
          <w:rFonts w:ascii="隶书" w:eastAsia="隶书" w:hAnsi="隶书" w:hint="default"/>
        </w:rPr>
        <w:t>Delta-2B激光雷达使用手册</w:t>
      </w:r>
    </w:p>
    <w:p>
      <w:pPr>
        <w:numPr>
          <w:ilvl w:val="0"/>
          <w:numId w:val="0"/>
        </w:numPr>
        <w:jc w:val="center"/>
        <w:spacing w:lineRule="auto" w:line="60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autoSpaceDE w:val="1"/>
        <w:autoSpaceDN w:val="1"/>
      </w:pPr>
      <w:r>
        <w:rPr>
          <w:b w:val="1"/>
          <w:color w:val="auto"/>
          <w:position w:val="0"/>
          <w:sz w:val="28"/>
          <w:szCs w:val="28"/>
          <w:rFonts w:ascii="楷体" w:eastAsia="楷体" w:hAnsi="楷体" w:hint="default"/>
        </w:rPr>
        <w:t xml:space="preserve"> 低成本360°扫描激光雷达</w:t>
      </w:r>
    </w:p>
    <w:p>
      <w:pPr>
        <w:numPr>
          <w:ilvl w:val="0"/>
          <w:numId w:val="0"/>
        </w:numPr>
        <w:jc w:val="center"/>
        <w:spacing w:lineRule="auto" w:line="480" w:before="0" w:after="160"/>
        <w:ind w:right="0" w:firstLine="0"/>
        <w:rPr>
          <w:b w:val="1"/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b w:val="1"/>
          <w:color w:val="auto"/>
          <w:position w:val="0"/>
          <w:sz w:val="21"/>
          <w:szCs w:val="21"/>
          <w:rFonts w:ascii="Calibri" w:eastAsia="宋体" w:hAnsi="宋体" w:hint="default"/>
        </w:rPr>
        <w:t>(适用于Delta-2B激光雷达)</w:t>
      </w:r>
    </w:p>
    <w:p>
      <w:pPr>
        <w:numPr>
          <w:ilvl w:val="0"/>
          <w:numId w:val="0"/>
        </w:numPr>
        <w:jc w:val="center"/>
        <w:spacing w:lineRule="auto" w:line="600" w:before="0" w:after="160"/>
        <w:ind w:right="0" w:firstLine="0"/>
        <w:rPr>
          <w:b w:val="1"/>
          <w:color w:val="auto"/>
          <w:position w:val="0"/>
          <w:sz w:val="28"/>
          <w:szCs w:val="28"/>
          <w:rFonts w:ascii="楷体" w:eastAsia="楷体" w:hAnsi="楷体" w:hint="default"/>
        </w:rPr>
        <w:autoSpaceDE w:val="1"/>
        <w:autoSpaceDN w:val="1"/>
      </w:pPr>
      <w:r>
        <w:rPr>
          <w:b w:val="1"/>
          <w:color w:val="auto"/>
          <w:position w:val="0"/>
          <w:sz w:val="28"/>
          <w:szCs w:val="28"/>
          <w:rFonts w:ascii="楷体" w:eastAsia="楷体" w:hAnsi="楷体" w:hint="default"/>
        </w:rPr>
        <w:t xml:space="preserve">版  本： V1.0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left="3675" w:hanging="3675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                                        </w:t>
      </w:r>
      <w:r>
        <w:rPr>
          <w:sz w:val="20"/>
        </w:rPr>
        <w:drawing>
          <wp:inline distT="0" distB="0" distL="0" distR="0">
            <wp:extent cx="5105400" cy="3381375"/>
            <wp:effectExtent l="0" t="0" r="0" b="0"/>
            <wp:docPr id="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15356_41675024/fImage8543724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338201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                            </w:t>
      </w: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b w:val="1"/>
          <w:color w:val="auto"/>
          <w:position w:val="0"/>
          <w:sz w:val="30"/>
          <w:szCs w:val="30"/>
          <w:rFonts w:ascii="隶书" w:eastAsia="隶书" w:hAnsi="隶书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b w:val="1"/>
          <w:color w:val="auto"/>
          <w:position w:val="0"/>
          <w:sz w:val="30"/>
          <w:szCs w:val="30"/>
          <w:rFonts w:ascii="隶书" w:eastAsia="隶书" w:hAnsi="隶书" w:hint="default"/>
        </w:rPr>
        <w:autoSpaceDE w:val="1"/>
        <w:autoSpaceDN w:val="1"/>
      </w:pPr>
      <w:r>
        <w:rPr>
          <w:b w:val="1"/>
          <w:color w:val="auto"/>
          <w:position w:val="0"/>
          <w:sz w:val="30"/>
          <w:szCs w:val="30"/>
          <w:rFonts w:ascii="隶书" w:eastAsia="隶书" w:hAnsi="隶书" w:hint="default"/>
        </w:rPr>
        <w:t>深圳市杉川机器人有限公司</w:t>
      </w: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b w:val="1"/>
          <w:color w:val="auto"/>
          <w:position w:val="0"/>
          <w:sz w:val="30"/>
          <w:szCs w:val="30"/>
          <w:rFonts w:ascii="隶书" w:eastAsia="隶书" w:hAnsi="隶书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目       录</w:t>
      </w:r>
    </w:p>
    <w:p>
      <w:pPr>
        <w:numPr>
          <w:ilvl w:val="0"/>
          <w:numId w:val="0"/>
        </w:numPr>
        <w:jc w:val="center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pStyle w:val="PO28"/>
        <w:numPr>
          <w:ilvl w:val="0"/>
          <w:numId w:val="0"/>
        </w:numPr>
        <w:jc w:val="both"/>
        <w:spacing w:lineRule="auto" w:line="240" w:before="0" w:after="160"/>
        <w:ind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Times New Roman" w:hAnsi="Times New Roman" w:hint="default"/>
        </w:rPr>
        <w:fldChar w:fldCharType="begin"/>
      </w:r>
      <w:r>
        <w:instrText> TOC  </w:instrText>
      </w:r>
      <w:r>
        <w:fldChar w:fldCharType="separate"/>
      </w:r>
      <w:hyperlink r:id="rId6">
        <w:r>
          <w:rPr>
            <w:b w:val="1"/>
            <w:color w:val="auto"/>
            <w:position w:val="0"/>
            <w:sz w:val="21"/>
            <w:szCs w:val="21"/>
            <w:rFonts w:ascii="Calibri" w:eastAsia="宋体" w:hAnsi="宋体" w:hint="default"/>
          </w:rPr>
          <w:t>一．简介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_Toc31768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3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8"/>
        <w:numPr>
          <w:ilvl w:val="0"/>
          <w:numId w:val="0"/>
        </w:numPr>
        <w:jc w:val="both"/>
        <w:spacing w:lineRule="auto" w:line="240" w:before="0" w:after="160"/>
        <w:ind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7">
        <w:r>
          <w:rPr>
            <w:b w:val="1"/>
            <w:color w:val="auto"/>
            <w:position w:val="0"/>
            <w:sz w:val="21"/>
            <w:szCs w:val="21"/>
            <w:rFonts w:ascii="Calibri" w:eastAsia="宋体" w:hAnsi="宋体" w:hint="default"/>
          </w:rPr>
          <w:t>二．开发参考与SDK使用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_Toc24957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3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9"/>
        <w:numPr>
          <w:ilvl w:val="0"/>
          <w:numId w:val="0"/>
        </w:numPr>
        <w:jc w:val="both"/>
        <w:spacing w:lineRule="auto" w:line="240" w:before="0" w:after="160"/>
        <w:ind w:left="420"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8">
        <w:r>
          <w:rPr>
            <w:b w:val="1"/>
            <w:color w:val="auto"/>
            <w:position w:val="0"/>
            <w:sz w:val="21"/>
            <w:szCs w:val="21"/>
            <w:rFonts w:ascii="宋体" w:eastAsia="宋体" w:hAnsi="宋体" w:hint="default"/>
          </w:rPr>
          <w:t>2.1 系列激光雷达引脚规格与定义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_Toc21026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3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  <w:r>
        <w:fldChar w:fldCharType="separate"/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Delta-2B</w:t>
      </w:r>
    </w:p>
    <w:p>
      <w:pPr>
        <w:pStyle w:val="PO29"/>
        <w:numPr>
          <w:ilvl w:val="0"/>
          <w:numId w:val="0"/>
        </w:numPr>
        <w:jc w:val="both"/>
        <w:spacing w:lineRule="auto" w:line="240" w:before="0" w:after="160"/>
        <w:ind w:left="420"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9">
        <w:r>
          <w:rPr>
            <w:b w:val="1"/>
            <w:color w:val="auto"/>
            <w:position w:val="0"/>
            <w:sz w:val="21"/>
            <w:szCs w:val="21"/>
            <w:rFonts w:ascii="宋体" w:eastAsia="宋体" w:hAnsi="宋体" w:hint="default"/>
          </w:rPr>
          <w:t>2.2 设备连接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_Toc9325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4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9"/>
        <w:numPr>
          <w:ilvl w:val="0"/>
          <w:numId w:val="0"/>
        </w:numPr>
        <w:jc w:val="both"/>
        <w:spacing w:lineRule="auto" w:line="240" w:before="0" w:after="160"/>
        <w:ind w:left="420"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10">
        <w:r>
          <w:rPr>
            <w:b w:val="1"/>
            <w:color w:val="auto"/>
            <w:position w:val="0"/>
            <w:sz w:val="21"/>
            <w:szCs w:val="21"/>
            <w:rFonts w:ascii="宋体" w:eastAsia="宋体" w:hAnsi="宋体" w:hint="default"/>
          </w:rPr>
          <w:t>2.3 雷达建图软件使用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_Toc27852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4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9"/>
        <w:numPr>
          <w:ilvl w:val="0"/>
          <w:numId w:val="0"/>
        </w:numPr>
        <w:jc w:val="both"/>
        <w:spacing w:lineRule="auto" w:line="240" w:before="0" w:after="160"/>
        <w:ind w:left="420"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11">
        <w:r>
          <w:rPr>
            <w:b w:val="1"/>
            <w:color w:val="auto"/>
            <w:position w:val="0"/>
            <w:sz w:val="21"/>
            <w:szCs w:val="21"/>
            <w:rFonts w:ascii="宋体" w:eastAsia="宋体" w:hAnsi="宋体" w:hint="default"/>
          </w:rPr>
          <w:t>2.4 使用SDK进行开发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_Toc4635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5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8"/>
        <w:numPr>
          <w:ilvl w:val="0"/>
          <w:numId w:val="0"/>
        </w:numPr>
        <w:jc w:val="both"/>
        <w:spacing w:lineRule="auto" w:line="240" w:before="0" w:after="160"/>
        <w:ind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12">
        <w:r>
          <w:rPr>
            <w:b w:val="1"/>
            <w:color w:val="auto"/>
            <w:position w:val="0"/>
            <w:sz w:val="21"/>
            <w:szCs w:val="21"/>
            <w:rFonts w:ascii="Calibri" w:eastAsia="宋体" w:hAnsi="宋体" w:hint="default"/>
          </w:rPr>
          <w:t>三．操作建议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_Toc12890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5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9"/>
        <w:numPr>
          <w:ilvl w:val="0"/>
          <w:numId w:val="0"/>
        </w:numPr>
        <w:jc w:val="both"/>
        <w:spacing w:lineRule="auto" w:line="240" w:before="0" w:after="160"/>
        <w:ind w:left="420"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13">
        <w:r>
          <w:rPr>
            <w:b w:val="1"/>
            <w:color w:val="auto"/>
            <w:position w:val="0"/>
            <w:sz w:val="21"/>
            <w:szCs w:val="21"/>
            <w:rFonts w:ascii="宋体" w:eastAsia="宋体" w:hAnsi="宋体" w:hint="default"/>
          </w:rPr>
          <w:t>3.1预热与最佳工作时间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_Toc16074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5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9"/>
        <w:numPr>
          <w:ilvl w:val="0"/>
          <w:numId w:val="0"/>
        </w:numPr>
        <w:jc w:val="both"/>
        <w:spacing w:lineRule="auto" w:line="240" w:before="0" w:after="160"/>
        <w:ind w:left="420"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14">
        <w:r>
          <w:rPr>
            <w:b w:val="1"/>
            <w:color w:val="auto"/>
            <w:position w:val="0"/>
            <w:sz w:val="21"/>
            <w:szCs w:val="21"/>
            <w:rFonts w:ascii="宋体" w:eastAsia="宋体" w:hAnsi="宋体" w:hint="default"/>
          </w:rPr>
          <w:t>3.2环境温度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_Toc14563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5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9"/>
        <w:numPr>
          <w:ilvl w:val="0"/>
          <w:numId w:val="0"/>
        </w:numPr>
        <w:jc w:val="both"/>
        <w:spacing w:lineRule="auto" w:line="240" w:before="0" w:after="160"/>
        <w:ind w:left="420"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15">
        <w:r>
          <w:rPr>
            <w:b w:val="1"/>
            <w:color w:val="auto"/>
            <w:position w:val="0"/>
            <w:sz w:val="21"/>
            <w:szCs w:val="21"/>
            <w:rFonts w:ascii="宋体" w:eastAsia="宋体" w:hAnsi="宋体" w:hint="default"/>
          </w:rPr>
          <w:t>3.3环境光照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_Toc30603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5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8"/>
        <w:numPr>
          <w:ilvl w:val="0"/>
          <w:numId w:val="0"/>
        </w:numPr>
        <w:jc w:val="both"/>
        <w:spacing w:lineRule="auto" w:line="240" w:before="0" w:after="160"/>
        <w:ind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hyperlink r:id="rId16">
        <w:r>
          <w:rPr>
            <w:b w:val="1"/>
            <w:color w:val="auto"/>
            <w:position w:val="0"/>
            <w:sz w:val="21"/>
            <w:szCs w:val="21"/>
            <w:rFonts w:ascii="Calibri" w:eastAsia="宋体" w:hAnsi="宋体" w:hint="default"/>
          </w:rPr>
          <w:t>四．修订历史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ab/>
        </w:r>
        <w:r>
          <w:rPr>
            <w:color w:val="auto"/>
            <w:position w:val="0"/>
            <w:sz w:val="21"/>
            <w:szCs w:val="21"/>
            <w:rFonts w:ascii="Calibri" w:eastAsia="Times New Roman" w:hAnsi="Times New Roman" w:hint="default"/>
          </w:rPr>
          <w:fldChar w:fldCharType="begin"/>
        </w:r>
        <w:r>
          <w:instrText> PAGEREF  _Toc21285 </w:instrText>
        </w:r>
        <w:r>
          <w:instrText> \* MERGEFORMAT</w:instrText>
        </w:r>
        <w:r>
          <w:fldChar w:fldCharType="separate"/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t>6</w:t>
        </w:r>
        <w:r>
          <w:rPr>
            <w:color w:val="auto"/>
            <w:position w:val="0"/>
            <w:sz w:val="21"/>
            <w:szCs w:val="21"/>
            <w:rFonts w:ascii="Calibri" w:eastAsia="宋体" w:hAnsi="宋体" w:hint="default"/>
          </w:rPr>
          <w:fldChar w:fldCharType="end"/>
        </w:r>
      </w:hyperlink>
    </w:p>
    <w:p>
      <w:pPr>
        <w:pStyle w:val="PO28"/>
        <w:numPr>
          <w:ilvl w:val="0"/>
          <w:numId w:val="0"/>
        </w:numPr>
        <w:jc w:val="both"/>
        <w:spacing w:lineRule="auto" w:line="240" w:before="0" w:after="160"/>
        <w:ind w:right="0" w:firstLine="0"/>
        <w:tabs>
          <w:tab w:val="right" w:leader="dot" w:pos="8306"/>
        </w:tabs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fldChar w:fldCharType="end"/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outlineLvl w:val="0"/>
        <w:autoSpaceDE w:val="1"/>
        <w:autoSpaceDN w:val="1"/>
      </w:pPr>
      <w:bookmarkStart w:id="1" w:name="_Toc31768"/>
      <w:r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t>一．简介</w:t>
      </w:r>
      <w:bookmarkEnd w:id="1"/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Delta-2B SDK包含了方便用户对Delta-2B系列进行性能评估与早期开发所需的数据手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册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、规格书、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驱动包(Linux和ROS)和Windows雷达建图软件。本手册仅适用Delta-2B激光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雷达，通过对本手册的阅读，你可以很快学会熟练使用激光雷达。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ab/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ab/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ab/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</w:t>
      </w:r>
      <w:r>
        <w:rPr>
          <w:sz w:val="20"/>
        </w:rPr>
        <w:drawing>
          <wp:inline distT="0" distB="0" distL="0" distR="0">
            <wp:extent cx="2646045" cy="1997075"/>
            <wp:effectExtent l="0" t="0" r="5080" b="635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15356_41675024/image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6680" cy="1997710"/>
                    </a:xfrm>
                    <a:prstGeom prst="rect"/>
                    <a:noFill/>
                    <a:ln w="9525" cap="flat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160"/>
        <w:ind w:left="2940" w:right="0" w:firstLine="42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Delta-2B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outlineLvl w:val="0"/>
        <w:autoSpaceDE w:val="1"/>
        <w:autoSpaceDN w:val="1"/>
      </w:pPr>
      <w:bookmarkStart w:id="2" w:name="_Toc24957"/>
      <w:r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t>二．开发参考与SDK使用</w:t>
      </w:r>
      <w:bookmarkEnd w:id="2"/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outlineLvl w:val="1"/>
        <w:autoSpaceDE w:val="1"/>
        <w:autoSpaceDN w:val="1"/>
      </w:pPr>
      <w:bookmarkStart w:id="3" w:name="_Toc21026"/>
      <w:r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t xml:space="preserve">2.1 Delta-2B系列激光雷达引脚规格与定义</w:t>
      </w:r>
      <w:bookmarkEnd w:id="3"/>
    </w:p>
    <w:p>
      <w:pPr>
        <w:numPr>
          <w:ilvl w:val="0"/>
          <w:numId w:val="0"/>
        </w:numPr>
        <w:jc w:val="both"/>
        <w:spacing w:lineRule="auto" w:line="240" w:before="0" w:after="160"/>
        <w:ind w:left="420"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Delta-2B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系列激光雷达使用5Pin 2.0 Pitch插头,引脚信号定义如下: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ab/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ab/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ab/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</w:t>
      </w:r>
      <w:r>
        <w:rPr>
          <w:sz w:val="20"/>
        </w:rPr>
        <w:drawing>
          <wp:inline distT="0" distB="0" distL="0" distR="0">
            <wp:extent cx="2432050" cy="1529715"/>
            <wp:effectExtent l="0" t="0" r="9525" b="1651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Administrator/AppData/Roaming/JisuOffice/ETemp/15356_41675024/image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2685" cy="1530350"/>
                    </a:xfrm>
                    <a:prstGeom prst="rect"/>
                    <a:noFill/>
                    <a:ln w="9525" cap="flat">
                      <a:noFill/>
                    </a:ln>
                  </pic:spPr>
                </pic:pic>
              </a:graphicData>
            </a:graphic>
          </wp:inline>
        </w:drawing>
      </w:r>
    </w:p>
    <w:tbl>
      <w:tblID w:val="0"/>
      <w:tblPr>
        <w:tblStyle w:val="PO38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7434" w:type="dxa"/>
        <w:tblInd w:w="332" w:type="dxa"/>
        <w:tblLook w:val="000000" w:firstRow="0" w:lastRow="0" w:firstColumn="0" w:lastColumn="0" w:noHBand="0" w:noVBand="0"/>
        <w:tblLayout w:type="fixed"/>
      </w:tblPr>
      <w:tblGrid>
        <w:gridCol w:w="1109"/>
        <w:gridCol w:w="1066"/>
        <w:gridCol w:w="2150"/>
        <w:gridCol w:w="1036"/>
        <w:gridCol w:w="1036"/>
        <w:gridCol w:w="1037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1109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 xml:space="preserve">信 号 名</w:t>
            </w:r>
          </w:p>
        </w:tc>
        <w:tc>
          <w:tcPr>
            <w:tcW w:type="dxa" w:w="1066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 xml:space="preserve">类  型</w:t>
            </w:r>
          </w:p>
        </w:tc>
        <w:tc>
          <w:tcPr>
            <w:tcW w:type="dxa" w:w="215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 xml:space="preserve">描  述</w:t>
            </w:r>
          </w:p>
        </w:tc>
        <w:tc>
          <w:tcPr>
            <w:tcW w:type="dxa" w:w="1036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最小值</w:t>
            </w:r>
          </w:p>
        </w:tc>
        <w:tc>
          <w:tcPr>
            <w:tcW w:type="dxa" w:w="1036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典型值</w:t>
            </w:r>
          </w:p>
        </w:tc>
        <w:tc>
          <w:tcPr>
            <w:tcW w:type="dxa" w:w="1037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最大值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atleast" w:val="310"/>
          <w:hidden w:val="0"/>
        </w:trPr>
        <w:tc>
          <w:tcPr>
            <w:tcW w:type="dxa" w:w="1109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M+</w:t>
            </w:r>
          </w:p>
        </w:tc>
        <w:tc>
          <w:tcPr>
            <w:tcW w:type="dxa" w:w="1066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电机供电</w:t>
            </w:r>
          </w:p>
        </w:tc>
        <w:tc>
          <w:tcPr>
            <w:tcW w:type="dxa" w:w="215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电机电源正</w:t>
            </w:r>
          </w:p>
        </w:tc>
        <w:tc>
          <w:tcPr>
            <w:tcW w:type="dxa" w:w="1036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2.5V</w:t>
            </w:r>
          </w:p>
        </w:tc>
        <w:tc>
          <w:tcPr>
            <w:tcW w:type="dxa" w:w="1036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3.3V</w:t>
            </w:r>
          </w:p>
        </w:tc>
        <w:tc>
          <w:tcPr>
            <w:tcW w:type="dxa" w:w="1037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5V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1109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M-</w:t>
            </w:r>
          </w:p>
        </w:tc>
        <w:tc>
          <w:tcPr>
            <w:tcW w:type="dxa" w:w="1066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电机供电</w:t>
            </w:r>
          </w:p>
        </w:tc>
        <w:tc>
          <w:tcPr>
            <w:tcW w:type="dxa" w:w="215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电机电源负</w:t>
            </w:r>
          </w:p>
        </w:tc>
        <w:tc>
          <w:tcPr>
            <w:tcW w:type="dxa" w:w="1036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0V</w:t>
            </w:r>
          </w:p>
        </w:tc>
        <w:tc>
          <w:tcPr>
            <w:tcW w:type="dxa" w:w="1036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0V</w:t>
            </w:r>
          </w:p>
        </w:tc>
        <w:tc>
          <w:tcPr>
            <w:tcW w:type="dxa" w:w="1037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0V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hidden w:val="0"/>
        </w:trPr>
        <w:tc>
          <w:tcPr>
            <w:tcW w:type="dxa" w:w="1109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VCC</w:t>
            </w:r>
          </w:p>
        </w:tc>
        <w:tc>
          <w:tcPr>
            <w:tcW w:type="dxa" w:w="1066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雷达供电</w:t>
            </w:r>
          </w:p>
        </w:tc>
        <w:tc>
          <w:tcPr>
            <w:tcW w:type="dxa" w:w="215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雷达电源正</w:t>
            </w:r>
          </w:p>
        </w:tc>
        <w:tc>
          <w:tcPr>
            <w:tcW w:type="dxa" w:w="1036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4.8V</w:t>
            </w:r>
          </w:p>
        </w:tc>
        <w:tc>
          <w:tcPr>
            <w:tcW w:type="dxa" w:w="1036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5V</w:t>
            </w:r>
          </w:p>
        </w:tc>
        <w:tc>
          <w:tcPr>
            <w:tcW w:type="dxa" w:w="1037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5.5V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1109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GND</w:t>
            </w:r>
          </w:p>
        </w:tc>
        <w:tc>
          <w:tcPr>
            <w:tcW w:type="dxa" w:w="1066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雷达供电</w:t>
            </w:r>
          </w:p>
        </w:tc>
        <w:tc>
          <w:tcPr>
            <w:tcW w:type="dxa" w:w="215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雷达电源负</w:t>
            </w:r>
          </w:p>
        </w:tc>
        <w:tc>
          <w:tcPr>
            <w:tcW w:type="dxa" w:w="1036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0V</w:t>
            </w:r>
          </w:p>
        </w:tc>
        <w:tc>
          <w:tcPr>
            <w:tcW w:type="dxa" w:w="1036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0V</w:t>
            </w:r>
          </w:p>
        </w:tc>
        <w:tc>
          <w:tcPr>
            <w:tcW w:type="dxa" w:w="1037"/>
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0V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hidden w:val="0"/>
        </w:trPr>
        <w:tc>
          <w:tcPr>
            <w:tcW w:type="dxa" w:w="1109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TX</w:t>
            </w:r>
          </w:p>
        </w:tc>
        <w:tc>
          <w:tcPr>
            <w:tcW w:type="dxa" w:w="1066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数据输出</w:t>
            </w:r>
          </w:p>
        </w:tc>
        <w:tc>
          <w:tcPr>
            <w:tcW w:type="dxa" w:w="215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测量数据串口输出</w:t>
            </w:r>
          </w:p>
        </w:tc>
        <w:tc>
          <w:tcPr>
            <w:tcW w:type="dxa" w:w="1036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0V</w:t>
            </w:r>
          </w:p>
        </w:tc>
        <w:tc>
          <w:tcPr>
            <w:tcW w:type="dxa" w:w="1036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3.3V</w:t>
            </w:r>
          </w:p>
        </w:tc>
        <w:tc>
          <w:tcPr>
            <w:tcW w:type="dxa" w:w="1037"/>
            <w:cnfStyle w:val="000001010000" w:firstRow="0" w:lastRow="0" w:firstColumn="0" w:lastColumn="0" w:oddVBand="0" w:evenVBand="1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3.5V</w:t>
            </w: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t>备注：</w:t>
      </w:r>
    </w:p>
    <w:p>
      <w:pPr>
        <w:numPr>
          <w:ilvl w:val="0"/>
          <w:numId w:val="0"/>
        </w:numPr>
        <w:jc w:val="both"/>
        <w:spacing w:lineRule="auto" w:line="240" w:before="0" w:after="160"/>
        <w:ind w:left="610" w:right="0" w:hanging="21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1.电机电源典型值为DC3.3V,</w:t>
      </w:r>
      <w:r>
        <w:rPr>
          <w:color w:val="auto"/>
          <w:position w:val="0"/>
          <w:sz w:val="21"/>
          <w:szCs w:val="21"/>
          <w:rFonts w:ascii="宋体" w:eastAsia="Times New Roman" w:hAnsi="Times New Roman" w:hint="default"/>
        </w:rPr>
        <w:t>可以通过调节电机电压大小或者PWM</w:t>
      </w:r>
      <w:r>
        <w:rPr>
          <w:spacing w:val="0"/>
          <w:color w:val="auto"/>
          <w:position w:val="0"/>
          <w:sz w:val="21"/>
          <w:szCs w:val="21"/>
          <w:smallCaps w:val="0"/>
          <w:rFonts w:ascii="宋体" w:eastAsia="Times New Roman" w:hAnsi="Times New Roman" w:hint="default"/>
        </w:rPr>
        <w:t xml:space="preserve">（ 5V ）</w:t>
      </w:r>
      <w:r>
        <w:rPr>
          <w:color w:val="auto"/>
          <w:position w:val="0"/>
          <w:sz w:val="21"/>
          <w:szCs w:val="21"/>
          <w:rFonts w:ascii="宋体" w:eastAsia="Times New Roman" w:hAnsi="Times New Roman" w:hint="default"/>
        </w:rPr>
        <w:t>调制来调节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电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机的转速</w:t>
      </w:r>
      <w:r>
        <w:rPr>
          <w:color w:val="auto"/>
          <w:position w:val="0"/>
          <w:sz w:val="21"/>
          <w:szCs w:val="21"/>
          <w:rFonts w:ascii="宋体" w:eastAsia="Times New Roman" w:hAnsi="Times New Roman" w:hint="default"/>
        </w:rPr>
        <w:t>。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雷达可接受的电机转速范围为4～10r/s。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2.Delta-2B系列雷达采用外接DC 5V供电，启动电流典型值为600mA，正常工作电流典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  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ab/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  型值为500mA。</w:t>
      </w:r>
    </w:p>
    <w:p>
      <w:pPr>
        <w:numPr>
          <w:ilvl w:val="0"/>
          <w:numId w:val="3"/>
        </w:numPr>
        <w:jc w:val="both"/>
        <w:spacing w:lineRule="auto" w:line="240" w:before="0" w:after="160"/>
        <w:ind w:left="420" w:right="0" w:firstLine="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建议通过外接DC 5V电源给Delta-2B系列雷达供电，因部分电脑USB电源质量与驱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      动能力不够，所以不推荐用电脑USB口给Delta-2B系列雷达供电。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outlineLvl w:val="1"/>
        <w:autoSpaceDE w:val="1"/>
        <w:autoSpaceDN w:val="1"/>
      </w:pPr>
      <w:bookmarkStart w:id="4" w:name="_Toc9325"/>
      <w:r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t xml:space="preserve">2.2 设备连接</w:t>
      </w:r>
      <w:bookmarkEnd w:id="4"/>
    </w:p>
    <w:p>
      <w:pPr>
        <w:numPr>
          <w:ilvl w:val="0"/>
          <w:numId w:val="0"/>
        </w:numPr>
        <w:jc w:val="both"/>
        <w:spacing w:lineRule="auto" w:line="240" w:before="0" w:after="160"/>
        <w:ind w:right="0" w:left="420" w:hanging="42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    用套件中提供的连接线将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Delta-2B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激光雷达与电脑或设备的USB口连接，USB转UART 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TTL模块插入PC机USB接口。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left="420" w:hanging="42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   USB-UART TTL模块</w:t>
      </w:r>
      <w:r>
        <w:rPr>
          <w:color w:val="auto"/>
          <w:position w:val="0"/>
          <w:sz w:val="21"/>
          <w:szCs w:val="21"/>
          <w:rFonts w:ascii="宋体" w:eastAsia="Times New Roman" w:hAnsi="Times New Roman" w:hint="default"/>
        </w:rPr>
        <w:t>插入前，请确认PC机是否安装了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USB转UART TTL模块</w:t>
      </w:r>
      <w:r>
        <w:rPr>
          <w:color w:val="auto"/>
          <w:position w:val="0"/>
          <w:sz w:val="21"/>
          <w:szCs w:val="21"/>
          <w:rFonts w:ascii="宋体" w:eastAsia="Times New Roman" w:hAnsi="Times New Roman" w:hint="default"/>
        </w:rPr>
        <w:t>驱动。如未安装，请安装USB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转UART TTL</w:t>
      </w:r>
      <w:r>
        <w:rPr>
          <w:color w:val="auto"/>
          <w:position w:val="0"/>
          <w:sz w:val="21"/>
          <w:szCs w:val="21"/>
          <w:rFonts w:ascii="宋体" w:eastAsia="Times New Roman" w:hAnsi="Times New Roman" w:hint="default"/>
        </w:rPr>
        <w:t>驱动，以免上位机搜索不到设备串口。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outlineLvl w:val="1"/>
        <w:autoSpaceDE w:val="1"/>
        <w:autoSpaceDN w:val="1"/>
      </w:pPr>
      <w:bookmarkStart w:id="5" w:name="_Toc27852"/>
      <w:r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t xml:space="preserve">2.3 雷达建图软件使用</w:t>
      </w:r>
      <w:bookmarkEnd w:id="5"/>
    </w:p>
    <w:p>
      <w:pPr>
        <w:numPr>
          <w:ilvl w:val="0"/>
          <w:numId w:val="0"/>
        </w:numPr>
        <w:jc w:val="both"/>
        <w:spacing w:lineRule="auto" w:line="240" w:before="0" w:after="160"/>
        <w:ind w:left="945" w:right="0" w:hanging="525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2.3.1双击”Delta-2B.exe”运行(win10 系统请以管理员权限运行)建图软件，并在串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口选择框中选择正确的串口，并点”OK”按扭，如下图所示：</w:t>
      </w:r>
    </w:p>
    <w:p>
      <w:pPr>
        <w:numPr>
          <w:ilvl w:val="0"/>
          <w:numId w:val="0"/>
        </w:numPr>
        <w:jc w:val="both"/>
        <w:spacing w:lineRule="auto" w:line="240" w:before="0" w:after="160"/>
        <w:ind w:left="1260" w:right="0" w:firstLine="42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sz w:val="20"/>
        </w:rPr>
        <w:drawing>
          <wp:inline distT="0" distB="0" distL="0" distR="0">
            <wp:extent cx="3145790" cy="1136650"/>
            <wp:effectExtent l="0" t="0" r="635" b="1016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/Users/Administrator/AppData/Roaming/JisuOffice/ETemp/15356_41675024/image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11372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2.3.2 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在菜单中依次点击”Command”-&gt;”Scan”或点击工具栏中的</w:t>
      </w:r>
      <w:r>
        <w:rPr>
          <w:sz w:val="20"/>
        </w:rPr>
        <w:drawing>
          <wp:inline distT="0" distB="0" distL="0" distR="0">
            <wp:extent cx="262890" cy="248285"/>
            <wp:effectExtent l="0" t="0" r="6985" b="254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/Users/Administrator/AppData/Roaming/JisuOffice/ETemp/15356_41675024/image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248920"/>
                    </a:xfrm>
                    <a:prstGeom prst="rect"/>
                    <a:noFill/>
                    <a:ln w="9525" cap="flat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图标，开始</w:t>
      </w:r>
    </w:p>
    <w:p>
      <w:pPr>
        <w:numPr>
          <w:ilvl w:val="0"/>
          <w:numId w:val="0"/>
        </w:numPr>
        <w:jc w:val="both"/>
        <w:spacing w:lineRule="auto" w:line="240" w:before="0" w:after="160"/>
        <w:ind w:left="840" w:right="0" w:firstLine="42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接收雷达数据并建图，如下图所示:</w:t>
      </w:r>
    </w:p>
    <w:p>
      <w:pPr>
        <w:numPr>
          <w:ilvl w:val="0"/>
          <w:numId w:val="0"/>
        </w:numPr>
        <w:jc w:val="both"/>
        <w:spacing w:lineRule="auto" w:line="240" w:before="0" w:after="160"/>
        <w:ind w:left="420" w:right="0" w:firstLine="42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  </w:t>
      </w:r>
      <w:r>
        <w:rPr>
          <w:sz w:val="20"/>
        </w:rPr>
        <w:drawing>
          <wp:inline distT="0" distB="0" distL="0" distR="0">
            <wp:extent cx="3919220" cy="2082800"/>
            <wp:effectExtent l="0" t="0" r="8255" b="15875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/Users/Administrator/AppData/Roaming/JisuOffice/ETemp/15356_41675024/image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-205"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2083435"/>
                    </a:xfrm>
                    <a:prstGeom prst="rect"/>
                    <a:noFill/>
                    <a:ln w="9525" cap="flat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2.3.3 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可以移动鼠标到所要测量的点上，测量当前点的距离和角度信息，并在图形显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 xml:space="preserve">         示区的左上角显示。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2.3.4 </w:t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如果要停止接收数据，依次点击”Command”-&gt;”Stop”或点击工具栏中的</w:t>
      </w:r>
      <w:r>
        <w:rPr>
          <w:sz w:val="20"/>
        </w:rPr>
        <w:drawing>
          <wp:inline distT="0" distB="0" distL="0" distR="0">
            <wp:extent cx="198755" cy="178435"/>
            <wp:effectExtent l="0" t="0" r="0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/Users/Administrator/AppData/Roaming/JisuOffice/ETemp/15356_41675024/image7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179070"/>
                    </a:xfrm>
                    <a:prstGeom prst="rect"/>
                    <a:noFill/>
                    <a:ln w="9525" cap="flat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图</w:t>
      </w:r>
    </w:p>
    <w:p>
      <w:pPr>
        <w:numPr>
          <w:ilvl w:val="0"/>
          <w:numId w:val="0"/>
        </w:numPr>
        <w:jc w:val="both"/>
        <w:spacing w:lineRule="auto" w:line="240" w:before="0" w:after="160"/>
        <w:ind w:left="420" w:right="0" w:firstLine="420"/>
        <w:rPr>
          <w:color w:val="auto"/>
          <w:position w:val="0"/>
          <w:sz w:val="21"/>
          <w:szCs w:val="21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标即可停止。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outlineLvl w:val="1"/>
        <w:autoSpaceDE w:val="1"/>
        <w:autoSpaceDN w:val="1"/>
      </w:pPr>
      <w:bookmarkStart w:id="6" w:name="_Toc4635"/>
      <w:r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t xml:space="preserve">2.4 使用SDK进行开发</w:t>
      </w:r>
      <w:bookmarkEnd w:id="6"/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杉川机器人提供了对</w:t>
      </w:r>
      <w:bookmarkStart w:id="7" w:name="OLE_LINK10"/>
      <w:r>
        <w:rPr>
          <w:color w:val="auto"/>
          <w:position w:val="0"/>
          <w:sz w:val="21"/>
          <w:szCs w:val="21"/>
          <w:rFonts w:ascii="宋体" w:eastAsia="宋体" w:hAnsi="宋体" w:hint="default"/>
        </w:rPr>
        <w:t>Delta-2B</w:t>
      </w:r>
      <w:bookmarkEnd w:id="7"/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系列雷达进行开发的配套SDK: </w:t>
      </w:r>
    </w:p>
    <w:p>
      <w:pPr>
        <w:numPr>
          <w:ilvl w:val="0"/>
          <w:numId w:val="2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基于linux平台的SDK：Delta-2B_linux.tar。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2. 基于ROS平台的SDK：Delta-2B_ros.tar。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用户可直接基于我们提供的SDK包开发，也可以将我们提供的SDK源代码快速移植到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其他的操作系统或者嵌入式系统当中。详情请参考SDK中的相关说明文档。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outlineLvl w:val="0"/>
        <w:autoSpaceDE w:val="1"/>
        <w:autoSpaceDN w:val="1"/>
      </w:pPr>
      <w:bookmarkStart w:id="8" w:name="_Toc12890"/>
      <w:r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t>三．操作建议</w:t>
      </w:r>
      <w:bookmarkEnd w:id="8"/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outlineLvl w:val="1"/>
        <w:autoSpaceDE w:val="1"/>
        <w:autoSpaceDN w:val="1"/>
      </w:pPr>
      <w:bookmarkStart w:id="9" w:name="_Toc16074"/>
      <w:r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t>3.1预热与最佳工作时间</w:t>
      </w:r>
      <w:bookmarkEnd w:id="9"/>
    </w:p>
    <w:p>
      <w:pPr>
        <w:numPr>
          <w:ilvl w:val="0"/>
          <w:numId w:val="4"/>
        </w:numPr>
        <w:jc w:val="both"/>
        <w:spacing w:lineRule="auto" w:line="240" w:before="0" w:after="160"/>
        <w:ind w:left="420"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由于测距核心在工作中将产生热量，建议在Delta-2B系列激光雷达工作（电机开始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运转） 6分钟后使用。此时测距精度将达到最佳水平。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outlineLvl w:val="1"/>
        <w:autoSpaceDE w:val="1"/>
        <w:autoSpaceDN w:val="1"/>
      </w:pPr>
      <w:bookmarkStart w:id="10" w:name="_Toc14563"/>
      <w:r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t>3.2环境温度</w:t>
      </w:r>
      <w:bookmarkEnd w:id="10"/>
    </w:p>
    <w:p>
      <w:pPr>
        <w:numPr>
          <w:ilvl w:val="0"/>
          <w:numId w:val="0"/>
        </w:numPr>
        <w:jc w:val="both"/>
        <w:spacing w:lineRule="auto" w:line="240" w:before="0" w:after="160"/>
        <w:ind w:right="0" w:left="315" w:hanging="315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   当环境温度与常温差距过大将影响测距系统的精度，并可能对激光雷达产生损害。请 避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免在高温（&gt; 40 摄氏度）以及低温（&lt; -10 摄氏度）的条件中使用。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outlineLvl w:val="1"/>
        <w:autoSpaceDE w:val="1"/>
        <w:autoSpaceDN w:val="1"/>
      </w:pPr>
      <w:bookmarkStart w:id="11" w:name="_Toc30603"/>
      <w:r>
        <w:rPr>
          <w:b w:val="1"/>
          <w:color w:val="auto"/>
          <w:position w:val="0"/>
          <w:sz w:val="21"/>
          <w:szCs w:val="21"/>
          <w:rFonts w:ascii="宋体" w:eastAsia="宋体" w:hAnsi="宋体" w:hint="default"/>
        </w:rPr>
        <w:t>3.3环境光照</w:t>
      </w:r>
      <w:bookmarkEnd w:id="11"/>
    </w:p>
    <w:p>
      <w:pPr>
        <w:numPr>
          <w:ilvl w:val="0"/>
          <w:numId w:val="2"/>
        </w:numPr>
        <w:jc w:val="both"/>
        <w:spacing w:lineRule="auto" w:line="240" w:before="0" w:after="160"/>
        <w:ind w:left="420"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Delta-2B系列雷达的理想工作环境为室内，室内环境光照（包含无光照）不会对Delta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-2B 系列雷达工作产生影响。请避免使用强光源（如大功率激光器）直接照射Delta-2B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的</w:t>
      </w:r>
      <w:r>
        <w:rPr>
          <w:color w:val="auto"/>
          <w:position w:val="0"/>
          <w:sz w:val="21"/>
          <w:szCs w:val="21"/>
          <w:rFonts w:ascii="Calibri" w:eastAsia="Times New Roman" w:hAnsi="Times New Roman" w:hint="default"/>
        </w:rPr>
        <w:t>光学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 xml:space="preserve">视觉系统。                         </w:t>
      </w:r>
    </w:p>
    <w:p>
      <w:pPr>
        <w:numPr>
          <w:ilvl w:val="0"/>
          <w:numId w:val="2"/>
        </w:numPr>
        <w:jc w:val="both"/>
        <w:spacing w:lineRule="auto" w:line="240" w:before="0" w:after="160"/>
        <w:ind w:left="420"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如果需要在室外使用，请避免Delta-2B系列激光雷达的</w:t>
      </w:r>
      <w:r>
        <w:rPr>
          <w:color w:val="auto"/>
          <w:position w:val="0"/>
          <w:sz w:val="21"/>
          <w:szCs w:val="21"/>
          <w:rFonts w:ascii="Calibri" w:eastAsia="Times New Roman" w:hAnsi="Times New Roman" w:hint="default"/>
        </w:rPr>
        <w:t>光学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视觉系统直接面对太阳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照射，这将这可能导致</w:t>
      </w:r>
      <w:r>
        <w:rPr>
          <w:color w:val="auto"/>
          <w:position w:val="0"/>
          <w:sz w:val="21"/>
          <w:szCs w:val="21"/>
          <w:rFonts w:ascii="Calibri" w:eastAsia="Times New Roman" w:hAnsi="Times New Roman" w:hint="default"/>
        </w:rPr>
        <w:t>光学</w:t>
      </w: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系统的感光芯片出现永久性损伤，从而使测距失效。</w:t>
      </w:r>
    </w:p>
    <w:p>
      <w:pPr>
        <w:numPr>
          <w:ilvl w:val="0"/>
          <w:numId w:val="2"/>
        </w:numPr>
        <w:jc w:val="both"/>
        <w:spacing w:lineRule="auto" w:line="240" w:before="0" w:after="160"/>
        <w:ind w:left="420"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宋体" w:hAnsi="宋体" w:hint="default"/>
        </w:rPr>
        <w:t>Delta-2B系列雷达在室外强烈太阳光反射条件下的测距范围将缩短。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1"/>
          <w:szCs w:val="21"/>
          <w:rFonts w:ascii="Calibri" w:eastAsia="Times New Roman" w:hAnsi="Times New Roman" w:hint="default"/>
        </w:rPr>
        <w:t>3.4售后维修</w:t>
      </w:r>
    </w:p>
    <w:p>
      <w:pPr>
        <w:numPr>
          <w:ilvl w:val="0"/>
          <w:numId w:val="0"/>
        </w:numPr>
        <w:jc w:val="both"/>
        <w:spacing w:lineRule="auto" w:line="240" w:before="0" w:after="160"/>
        <w:ind w:left="420" w:right="0" w:firstLine="0"/>
        <w:rPr>
          <w:spacing w:val="0"/>
          <w:color w:val="auto"/>
          <w:position w:val="0"/>
          <w:sz w:val="21"/>
          <w:szCs w:val="21"/>
          <w:smallCaps w:val="0"/>
          <w:rFonts w:ascii="Calibri" w:eastAsia="宋体" w:hAnsi="宋体" w:hint="default"/>
        </w:rPr>
        <w:autoSpaceDE w:val="1"/>
        <w:autoSpaceDN w:val="1"/>
      </w:pPr>
      <w:r>
        <w:rPr>
          <w:spacing w:val="0"/>
          <w:color w:val="auto"/>
          <w:position w:val="0"/>
          <w:sz w:val="21"/>
          <w:szCs w:val="21"/>
          <w:smallCaps w:val="0"/>
          <w:rFonts w:ascii="Calibri" w:eastAsia="宋体" w:hAnsi="宋体" w:hint="default"/>
        </w:rPr>
        <w:t>Delta-2B系列雷达属于精密光学仪器，如有问题，请及时与我司售后联系，请勿私自拆</w:t>
      </w:r>
      <w:r>
        <w:rPr>
          <w:spacing w:val="0"/>
          <w:color w:val="auto"/>
          <w:position w:val="0"/>
          <w:sz w:val="21"/>
          <w:szCs w:val="21"/>
          <w:smallCaps w:val="0"/>
          <w:rFonts w:ascii="Calibri" w:eastAsia="宋体" w:hAnsi="宋体" w:hint="default"/>
        </w:rPr>
        <w:t>卸维修。</w:t>
      </w: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outlineLvl w:val="0"/>
        <w:autoSpaceDE w:val="1"/>
        <w:autoSpaceDN w:val="1"/>
      </w:pPr>
      <w:bookmarkStart w:id="12" w:name="_Toc21285"/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outlineLvl w:val="0"/>
        <w:autoSpaceDE w:val="1"/>
        <w:autoSpaceDN w:val="1"/>
      </w:pPr>
      <w:r>
        <w:rPr>
          <w:b w:val="1"/>
          <w:color w:val="auto"/>
          <w:position w:val="0"/>
          <w:sz w:val="28"/>
          <w:szCs w:val="28"/>
          <w:rFonts w:ascii="Calibri" w:eastAsia="宋体" w:hAnsi="宋体" w:hint="default"/>
        </w:rPr>
        <w:t>四．修订历史</w:t>
      </w:r>
      <w:bookmarkEnd w:id="12"/>
    </w:p>
    <w:tbl>
      <w:tblID w:val="0"/>
      <w:tblPr>
        <w:tblStyle w:val="PO38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8296" w:type="dxa"/>
        <w:tblLook w:val="000000" w:firstRow="0" w:lastRow="0" w:firstColumn="0" w:lastColumn="0" w:noHBand="0" w:noVBand="0"/>
        <w:tblLayout w:type="fixed"/>
      </w:tblPr>
      <w:tblGrid>
        <w:gridCol w:w="1745"/>
        <w:gridCol w:w="1054"/>
        <w:gridCol w:w="1055"/>
        <w:gridCol w:w="4442"/>
      </w:tblGrid>
      <w:tr>
        <w:trPr>
          <w:hidden w:val="0"/>
        </w:trPr>
        <w:tc>
          <w:tcPr>
            <w:tcW w:type="dxa" w:w="1745"/>
            <w:vAlign w:val="top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 xml:space="preserve">日  期</w:t>
            </w:r>
          </w:p>
        </w:tc>
        <w:tc>
          <w:tcPr>
            <w:tcW w:type="dxa" w:w="1054"/>
            <w:vAlign w:val="top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 xml:space="preserve">版  本</w:t>
            </w:r>
          </w:p>
        </w:tc>
        <w:tc>
          <w:tcPr>
            <w:tcW w:type="dxa" w:w="1055"/>
            <w:vAlign w:val="top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修订人</w:t>
            </w:r>
          </w:p>
        </w:tc>
        <w:tc>
          <w:tcPr>
            <w:tcW w:type="dxa" w:w="4442"/>
            <w:vAlign w:val="top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 xml:space="preserve">描  述</w:t>
            </w:r>
          </w:p>
        </w:tc>
      </w:tr>
      <w:tr>
        <w:trPr>
          <w:hidden w:val="0"/>
        </w:trPr>
        <w:tc>
          <w:tcPr>
            <w:tcW w:type="dxa" w:w="1745"/>
            <w:vAlign w:val="top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2018/05/31</w:t>
            </w:r>
          </w:p>
        </w:tc>
        <w:tc>
          <w:tcPr>
            <w:tcW w:type="dxa" w:w="1054"/>
            <w:vAlign w:val="top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1.0</w:t>
            </w:r>
          </w:p>
        </w:tc>
        <w:tc>
          <w:tcPr>
            <w:tcW w:type="dxa" w:w="1055"/>
            <w:vAlign w:val="top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 xml:space="preserve">JL Wan</w:t>
            </w:r>
          </w:p>
        </w:tc>
        <w:tc>
          <w:tcPr>
            <w:tcW w:type="dxa" w:w="4442"/>
            <w:vAlign w:val="top"/>
          </w:tcPr>
          <w:p>
            <w:pPr>
              <w:numPr>
                <w:ilvl w:val="0"/>
                <w:numId w:val="0"/>
              </w:numPr>
              <w:jc w:val="left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t>初始版本</w:t>
            </w:r>
          </w:p>
        </w:tc>
      </w:tr>
      <w:tr>
        <w:trPr>
          <w:hidden w:val="0"/>
        </w:trPr>
        <w:tc>
          <w:tcPr>
            <w:tcW w:type="dxa" w:w="1745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1054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1055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4442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</w:tr>
      <w:tr>
        <w:trPr>
          <w:hidden w:val="0"/>
        </w:trPr>
        <w:tc>
          <w:tcPr>
            <w:tcW w:type="dxa" w:w="1745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1054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1055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4442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</w:tr>
      <w:tr>
        <w:trPr>
          <w:hidden w:val="0"/>
        </w:trPr>
        <w:tc>
          <w:tcPr>
            <w:tcW w:type="dxa" w:w="1745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1054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1055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4442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</w:tr>
      <w:tr>
        <w:trPr>
          <w:hidden w:val="0"/>
        </w:trPr>
        <w:tc>
          <w:tcPr>
            <w:tcW w:type="dxa" w:w="1745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1054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1055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  <w:tc>
          <w:tcPr>
            <w:tcW w:type="dxa" w:w="4442"/>
            <w:vAlign w:val="top"/>
          </w:tcPr>
          <w:p>
            <w:pPr>
              <w:numPr>
                <w:ilvl w:val="0"/>
                <w:numId w:val="0"/>
              </w:numPr>
              <w:jc w:val="center"/>
              <w:spacing w:lineRule="auto" w:line="24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Calibri" w:eastAsia="宋体" w:hAnsi="宋体" w:hint="default"/>
              </w:rPr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1"/>
          <w:szCs w:val="21"/>
          <w:rFonts w:ascii="Calibri" w:eastAsia="宋体" w:hAnsi="宋体" w:hint="default"/>
        </w:rPr>
        <w:autoSpaceDE w:val="1"/>
        <w:autoSpaceDN w:val="1"/>
      </w:pPr>
    </w:p>
    <w:sectPr>
      <w:headerReference w:type="default" r:id="rId23"/>
      <w:footerReference w:type="default" r:id="rId24"/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 Light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隶书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楷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3"/>
      <w:numPr>
        <w:ilvl w:val="0"/>
        <w:numId w:val="0"/>
      </w:numPr>
      <w:jc w:val="left"/>
      <w:spacing w:lineRule="auto" w:line="240" w:before="0" w:after="160"/>
      <w:ind w:right="0" w:firstLine="0"/>
      <w:tabs>
        <w:tab w:val="center" w:pos="4153"/>
        <w:tab w:val="center" w:pos="4153"/>
        <w:tab w:val="right" w:pos="8306"/>
        <w:tab w:val="right" w:pos="8306"/>
      </w:tabs>
      <w:rPr>
        <w:color w:val="auto"/>
        <w:position w:val="0"/>
        <w:sz w:val="18"/>
        <w:szCs w:val="18"/>
        <w:rFonts w:ascii="Calibri" w:eastAsia="宋体" w:hAnsi="宋体" w:hint="default"/>
      </w:rPr>
      <w:snapToGrid w:val="off"/>
      <w:autoSpaceDE w:val="1"/>
      <w:autoSpaceDN w:val="1"/>
    </w:pPr>
    <w:r>
      <w:rPr>
        <w:sz w:val="20"/>
      </w:rPr>
      <w:pict>
        <v:shape id="_x0000_s4" style="position:absolute;left:0;margin-left:0pt;mso-position-horizontal:center;mso-position-horizontal-relative:margin;margin-top:0pt;mso-position-vertical:absolute;mso-position-vertical-relative:text;width:4.5pt;height:18.9pt;z-index:251624960;mso-wrap-style:none" coordsize="57785,240665" path="m0,0l57785,0l57785,240665l0,240665xe" stroked="f" filled="f">
          <v:textbox style="mso-fit-shape-to-text:t;" inset="0pt,0pt,0pt,0pt">
            <w:txbxContent>
              <w:p>
                <w:pPr>
                  <w:numPr>
                    <w:ilvl w:val="0"/>
                    <w:numId w:val="0"/>
                  </w:numPr>
                  <w:jc w:val="both"/>
                  <w:spacing w:lineRule="auto" w:line="240" w:before="0" w:after="160"/>
                  <w:ind w:right="0" w:firstLine="0"/>
                  <w:rPr>
                    <w:color w:val="auto"/>
                    <w:position w:val="0"/>
                    <w:sz w:val="18"/>
                    <w:szCs w:val="18"/>
                    <w:rFonts w:ascii="Calibri" w:eastAsia="宋体" w:hAnsi="宋体" w:hint="default"/>
                  </w:rPr>
                  <w:snapToGrid w:val="off"/>
                  <w:autoSpaceDE w:val="1"/>
                  <w:autoSpaceDN w:val="1"/>
                </w:pPr>
                <w:r>
                  <w:rPr>
                    <w:color w:val="auto"/>
                    <w:position w:val="0"/>
                    <w:sz w:val="21"/>
                    <w:szCs w:val="21"/>
                    <w:rFonts w:ascii="Calibri" w:eastAsia="Times New Roman" w:hAnsi="Times New Roman" w:hint="default"/>
                  </w:rPr>
                  <w:fldChar w:fldCharType="begin"/>
                </w:r>
                <w:r>
                  <w:instrText>PAGE  \* MERGEFORMAT</w:instrText>
                </w:r>
                <w:r>
                  <w:fldChar w:fldCharType="separate"/>
                </w:r>
                <w:r>
                  <w:rPr>
                    <w:color w:val="auto"/>
                    <w:position w:val="0"/>
                    <w:sz w:val="18"/>
                    <w:szCs w:val="18"/>
                    <w:rFonts w:ascii="Calibri" w:eastAsia="宋体" w:hAnsi="宋体" w:hint="default"/>
                  </w:rPr>
                  <w:t>2</w:t>
                </w:r>
                <w:r>
                  <w:rPr>
                    <w:color w:val="auto"/>
                    <w:position w:val="0"/>
                    <w:sz w:val="18"/>
                    <w:szCs w:val="18"/>
                    <w:rFonts w:ascii="Calibri" w:eastAsia="宋体" w:hAnsi="宋体" w:hint="default"/>
                  </w:rPr>
                  <w:fldChar w:fldCharType="end"/>
                </w:r>
              </w:p>
            </w:txbxContent>
          </v:textbox>
        </v:shape>
      </w:pict>
    </w:r>
  </w:p>
</w:ft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numPr>
        <w:ilvl w:val="0"/>
        <w:numId w:val="0"/>
      </w:numPr>
      <w:jc w:val="center"/>
      <w:spacing w:lineRule="auto" w:line="240" w:before="0" w:after="160"/>
      <w:ind w:right="0" w:firstLine="0"/>
      <w:rPr>
        <w:color w:val="auto"/>
        <w:position w:val="0"/>
        <w:sz w:val="21"/>
        <w:szCs w:val="21"/>
        <w:rFonts w:ascii="Calibri" w:eastAsia="宋体" w:hAnsi="宋体" w:hint="default"/>
      </w:rPr>
      <w:autoSpaceDE w:val="1"/>
      <w:autoSpaceDN w:val="1"/>
    </w:pPr>
    <w:r>
      <w:rPr>
        <w:color w:val="auto"/>
        <w:position w:val="0"/>
        <w:sz w:val="21"/>
        <w:szCs w:val="21"/>
        <w:rFonts w:ascii="隶书" w:eastAsia="隶书" w:hAnsi="隶书" w:hint="default"/>
      </w:rPr>
      <w:t>Delta-2B使用手册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multilevel"/>
    <w:nsid w:val="2F000000"/>
    <w:tmpl w:val="1F002411"/>
    <w:lvl w:ilvl="0">
      <w:lvlJc w:val="left"/>
      <w:numFmt w:val="decimal"/>
      <w:start w:val="1"/>
      <w:suff w:val="nothing"/>
      <w:lvlText w:val="%1."/>
    </w:lvl>
    <w:lvl w:ilvl="1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abstractNum w:abstractNumId="1">
    <w:multiLevelType w:val="multilevel"/>
    <w:nsid w:val="2F000001"/>
    <w:tmpl w:val="1F000C5F"/>
    <w:lvl w:ilvl="0">
      <w:lvlJc w:val="left"/>
      <w:numFmt w:val="decimal"/>
      <w:start w:val="3"/>
      <w:suff w:val="nothing"/>
      <w:lvlText w:val="%1."/>
    </w:lvl>
    <w:lvl w:ilvl="1">
      <w:lvlJc w:val="left"/>
      <w:numFmt w:val="decimal"/>
      <w:start w:val="3"/>
      <w:suff w:val="nothing"/>
      <w:lvlText w:val="%1."/>
    </w:lvl>
    <w:lvl w:ilvl="2">
      <w:lvlJc w:val="left"/>
      <w:numFmt w:val="decimal"/>
      <w:start w:val="3"/>
      <w:suff w:val="nothing"/>
      <w:lvlText w:val="%1."/>
    </w:lvl>
    <w:lvl w:ilvl="3">
      <w:lvlJc w:val="left"/>
      <w:numFmt w:val="decimal"/>
      <w:start w:val="3"/>
      <w:suff w:val="nothing"/>
      <w:lvlText w:val="%1."/>
    </w:lvl>
    <w:lvl w:ilvl="4">
      <w:lvlJc w:val="left"/>
      <w:numFmt w:val="decimal"/>
      <w:start w:val="3"/>
      <w:suff w:val="nothing"/>
      <w:lvlText w:val="%1."/>
    </w:lvl>
    <w:lvl w:ilvl="5">
      <w:lvlJc w:val="left"/>
      <w:numFmt w:val="decimal"/>
      <w:start w:val="3"/>
      <w:suff w:val="nothing"/>
      <w:lvlText w:val="%1."/>
    </w:lvl>
    <w:lvl w:ilvl="6">
      <w:lvlJc w:val="left"/>
      <w:numFmt w:val="decimal"/>
      <w:start w:val="3"/>
      <w:suff w:val="nothing"/>
      <w:lvlText w:val="%1."/>
    </w:lvl>
    <w:lvl w:ilvl="7">
      <w:lvlJc w:val="left"/>
      <w:numFmt w:val="decimal"/>
      <w:start w:val="3"/>
      <w:suff w:val="nothing"/>
      <w:lvlText w:val="%1."/>
    </w:lvl>
    <w:lvl w:ilvl="8">
      <w:lvlJc w:val="left"/>
      <w:numFmt w:val="decimal"/>
      <w:start w:val="3"/>
      <w:suff w:val="nothing"/>
      <w:lvlText w:val="%1."/>
    </w:lvl>
  </w:abstractNum>
  <w:abstractNum w:abstractNumId="2">
    <w:multiLevelType w:val="multilevel"/>
    <w:nsid w:val="2F000002"/>
    <w:tmpl w:val="1F0033C2"/>
    <w:lvl w:ilvl="0">
      <w:lvlJc w:val="left"/>
      <w:numFmt w:val="decimal"/>
      <w:start w:val="3"/>
      <w:suff w:val="nothing"/>
      <w:lvlText w:val="%1."/>
    </w:lvl>
    <w:lvl w:ilvl="1">
      <w:lvlJc w:val="left"/>
      <w:numFmt w:val="decimal"/>
      <w:start w:val="3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3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3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3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3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3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3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3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abstractNum w:abstractNumId="3">
    <w:multiLevelType w:val="multilevel"/>
    <w:nsid w:val="2F000003"/>
    <w:tmpl w:val="1F002570"/>
    <w:lvl w:ilvl="0">
      <w:lvlJc w:val="left"/>
      <w:numFmt w:val="decimal"/>
      <w:start w:val="1"/>
      <w:suff w:val="nothing"/>
      <w:lvlText w:val="%1."/>
    </w:lvl>
    <w:lvl w:ilvl="1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abstractNum w:abstractNumId="4">
    <w:multiLevelType w:val="multilevel"/>
    <w:nsid w:val="2F000004"/>
    <w:tmpl w:val="1F001EB6"/>
    <w:lvl w:ilvl="0">
      <w:lvlJc w:val="left"/>
      <w:numFmt w:val="decimal"/>
      <w:start w:val="1"/>
      <w:suff w:val="nothing"/>
      <w:lvlText w:val="%1."/>
    </w:lvl>
    <w:lvl w:ilvl="1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abstractNum w:abstractNumId="5">
    <w:multiLevelType w:val="multilevel"/>
    <w:nsid w:val="2F000005"/>
    <w:tmpl w:val="1F00166B"/>
    <w:lvl w:ilvl="0">
      <w:lvlJc w:val="left"/>
      <w:numFmt w:val="decimal"/>
      <w:start w:val="1"/>
      <w:suff w:val="nothing"/>
      <w:lvlText w:val="%1."/>
    </w:lvl>
    <w:lvl w:ilvl="1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abstractNum w:abstractNumId="6">
    <w:multiLevelType w:val="multilevel"/>
    <w:nsid w:val="2F000006"/>
    <w:tmpl w:val="1F003957"/>
    <w:lvl w:ilvl="0">
      <w:lvlJc w:val="left"/>
      <w:numFmt w:val="decimal"/>
      <w:start w:val="1"/>
      <w:suff w:val="nothing"/>
      <w:lvlText w:val="%1."/>
    </w:lvl>
    <w:lvl w:ilvl="1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abstractNum w:abstractNumId="7">
    <w:multiLevelType w:val="multilevel"/>
    <w:nsid w:val="2F000007"/>
    <w:tmpl w:val="1F0034A9"/>
    <w:lvl w:ilvl="0">
      <w:lvlJc w:val="left"/>
      <w:numFmt w:val="decimal"/>
      <w:start w:val="1"/>
      <w:suff w:val="nothing"/>
      <w:lvlText w:val="%1."/>
    </w:lvl>
    <w:lvl w:ilvl="1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abstractNum w:abstractNumId="8">
    <w:multiLevelType w:val="multilevel"/>
    <w:nsid w:val="2F000008"/>
    <w:tmpl w:val="1F002FC8"/>
    <w:lvl w:ilvl="0">
      <w:lvlJc w:val="left"/>
      <w:numFmt w:val="decimal"/>
      <w:start w:val="1"/>
      <w:suff w:val="nothing"/>
      <w:lvlText w:val="%1."/>
    </w:lvl>
    <w:lvl w:ilvl="1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abstractNum w:abstractNumId="9">
    <w:multiLevelType w:val="multilevel"/>
    <w:nsid w:val="2F000009"/>
    <w:tmpl w:val="1F000B24"/>
    <w:lvl w:ilvl="0">
      <w:lvlJc w:val="left"/>
      <w:numFmt w:val="decimal"/>
      <w:start w:val="1"/>
      <w:suff w:val="nothing"/>
      <w:lvlText w:val="%1."/>
    </w:lvl>
    <w:lvl w:ilvl="1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abstractNum w:abstractNumId="10">
    <w:multiLevelType w:val="multilevel"/>
    <w:nsid w:val="2F00000A"/>
    <w:tmpl w:val="1F0036F8"/>
    <w:lvl w:ilvl="0">
      <w:lvlJc w:val="left"/>
      <w:numFmt w:val="decimal"/>
      <w:start w:val="1"/>
      <w:suff w:val="nothing"/>
      <w:lvlText w:val="%1."/>
    </w:lvl>
    <w:lvl w:ilvl="1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2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3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4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5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6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7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  <w:lvl w:ilvl="8">
      <w:lvlJc w:val="left"/>
      <w:numFmt w:val="decimal"/>
      <w:start w:val="1"/>
      <w:suff w:val="nothing"/>
      <w:rPr>
        <w:rFonts w:ascii="宋体" w:eastAsia="宋体" w:hAnsi="宋体"/>
        <w:shd w:val="clear"/>
        <w:sz w:val="20"/>
        <w:szCs w:val="20"/>
        <w:w w:val="100"/>
      </w:rPr>
      <w:lvlText w:val="%1.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>
    <w:balanceSingleByteDoubleByteWidth/>
    <w:adjustLineHeightInTable/>
    <w:useFELayout/>
    <w:compatSetting w:name="compatibilityMode" w:uri="http://schemas.microsoft.com/office/word" w:val="15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Times New Roman" w:hAnsi="Calibri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basedOn w:val="PO1"/>
    <w:next w:val="PO1"/>
    <w:link w:val="PO157"/>
    <w:qFormat/>
    <w:uiPriority w:val="7"/>
    <w:pPr>
      <w:autoSpaceDE w:val="1"/>
      <w:autoSpaceDN w:val="1"/>
      <w:keepLines/>
      <w:keepNext/>
      <w:widowControl/>
      <w:wordWrap/>
    </w:pPr>
    <w:rPr>
      <w:b/>
      <w:shd w:val="clear"/>
      <w:sz w:val="44"/>
      <w:szCs w:val="44"/>
      <w:w w:val="100"/>
    </w:rPr>
  </w:style>
  <w:style w:styleId="PO8" w:type="paragraph">
    <w:name w:val="heading 2"/>
    <w:basedOn w:val="PO1"/>
    <w:next w:val="PO1"/>
    <w:link w:val="PO158"/>
    <w:qFormat/>
    <w:uiPriority w:val="8"/>
    <w:unhideWhenUsed/>
    <w:pPr>
      <w:autoSpaceDE w:val="1"/>
      <w:autoSpaceDN w:val="1"/>
      <w:keepLines/>
      <w:keepNext/>
      <w:widowControl/>
      <w:wordWrap/>
    </w:pPr>
    <w:rPr>
      <w:rFonts w:ascii="Calibri Light" w:eastAsia="Calibri Light" w:hAnsi="Calibri Light"/>
      <w:b/>
      <w:shd w:val="clear"/>
      <w:sz w:val="32"/>
      <w:szCs w:val="32"/>
      <w:w w:val="100"/>
    </w:rPr>
  </w:style>
  <w:style w:styleId="PO9" w:type="paragraph">
    <w:name w:val="heading 3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 w:color="000000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 w:color="000000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 w:color="000000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 w:color="000000"/>
      <w:sz w:val="21"/>
      <w:szCs w:val="21"/>
      <w:w w:val="100"/>
    </w:rPr>
  </w:style>
  <w:style w:styleId="PO21" w:type="paragraph">
    <w:name w:val="Quote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 w:color="000000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 w:color="000000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 w:color="000000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qFormat/>
    <w:uiPriority w:val="27"/>
    <w:unhideWhenUsed/>
    <w:rPr>
      <w:color w:val="2E74B5"/>
      <w:shd w:val="clear"/>
      <w:sz w:val="32"/>
      <w:szCs w:val="32"/>
      <w:w w:val="100"/>
    </w:rPr>
  </w:style>
  <w:style w:styleId="PO28" w:type="paragraph">
    <w:name w:val="toc 1"/>
    <w:basedOn w:val="PO1"/>
    <w:next w:val="PO1"/>
    <w:qFormat/>
    <w:uiPriority w:val="28"/>
    <w:unhideWhenUsed/>
  </w:style>
  <w:style w:styleId="PO29" w:type="paragraph">
    <w:name w:val="toc 2"/>
    <w:basedOn w:val="PO1"/>
    <w:next w:val="PO1"/>
    <w:qFormat/>
    <w:uiPriority w:val="29"/>
    <w:unhideWhenUsed/>
    <w:pPr>
      <w:autoSpaceDE w:val="1"/>
      <w:autoSpaceDN w:val="1"/>
      <w:ind w:left="420" w:firstLine="0"/>
      <w:widowControl/>
      <w:wordWrap/>
    </w:pPr>
  </w:style>
  <w:style w:styleId="PO30" w:type="paragraph">
    <w:name w:val="toc 3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8" w:type="table">
    <w:name w:val="Table Grid"/>
    <w:qFormat/>
    <w:uiPriority w:val="38"/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customStyle="1" w:styleId="PO152" w:type="paragraph">
    <w:name w:val="列出段落1"/>
    <w:basedOn w:val="PO1"/>
    <w:qFormat/>
    <w:uiPriority w:val="152"/>
    <w:pPr>
      <w:autoSpaceDE w:val="1"/>
      <w:autoSpaceDN w:val="1"/>
      <w:ind w:firstLine="420"/>
      <w:widowControl/>
      <w:wordWrap/>
    </w:pPr>
  </w:style>
  <w:style w:styleId="PO153" w:type="paragraph">
    <w:name w:val="footer"/>
    <w:basedOn w:val="PO1"/>
    <w:link w:val="PO156"/>
    <w:qFormat/>
    <w:uiPriority w:val="153"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styleId="PO154" w:type="paragraph">
    <w:name w:val="header"/>
    <w:basedOn w:val="PO1"/>
    <w:link w:val="PO155"/>
    <w:qFormat/>
    <w:uiPriority w:val="154"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5" w:type="character">
    <w:name w:val="页眉 Char"/>
    <w:basedOn w:val="PO2"/>
    <w:link w:val="PO154"/>
    <w:qFormat/>
    <w:uiPriority w:val="155"/>
    <w:rPr>
      <w:shd w:val="clear" w:color="000000"/>
      <w:sz w:val="18"/>
      <w:szCs w:val="18"/>
      <w:w w:val="100"/>
    </w:rPr>
  </w:style>
  <w:style w:customStyle="1" w:styleId="PO156" w:type="character">
    <w:name w:val="页脚 Char"/>
    <w:basedOn w:val="PO2"/>
    <w:link w:val="PO153"/>
    <w:qFormat/>
    <w:uiPriority w:val="156"/>
    <w:rPr>
      <w:shd w:val="clear" w:color="000000"/>
      <w:sz w:val="18"/>
      <w:szCs w:val="18"/>
      <w:w w:val="100"/>
    </w:rPr>
  </w:style>
  <w:style w:customStyle="1" w:styleId="PO157" w:type="character">
    <w:name w:val="标题 1 Char"/>
    <w:basedOn w:val="PO2"/>
    <w:link w:val="PO7"/>
    <w:qFormat/>
    <w:uiPriority w:val="157"/>
    <w:rPr>
      <w:b/>
      <w:shd w:val="clear" w:color="000000"/>
      <w:sz w:val="44"/>
      <w:szCs w:val="44"/>
      <w:w w:val="100"/>
    </w:rPr>
  </w:style>
  <w:style w:customStyle="1" w:styleId="PO158" w:type="character">
    <w:name w:val="标题 2 Char"/>
    <w:basedOn w:val="PO2"/>
    <w:link w:val="PO8"/>
    <w:qFormat/>
    <w:uiPriority w:val="158"/>
    <w:rPr>
      <w:rFonts w:ascii="Calibri Light" w:eastAsia="宋体" w:hAnsi="Calibri Light"/>
      <w:b/>
      <w:shd w:val="clear" w:color="000000"/>
      <w:sz w:val="32"/>
      <w:szCs w:val="32"/>
      <w:w w:val="100"/>
    </w:rPr>
  </w:style>
  <w:style w:styleId="PO159" w:type="paragraph">
    <w:name w:val="Balloon Text"/>
    <w:basedOn w:val="PO1"/>
    <w:link w:val="PO160"/>
    <w:uiPriority w:val="159"/>
    <w:semiHidden/>
    <w:unhideWhenUsed/>
    <w:rPr>
      <w:shd w:val="clear"/>
      <w:sz w:val="18"/>
      <w:szCs w:val="18"/>
      <w:w w:val="100"/>
    </w:rPr>
  </w:style>
  <w:style w:customStyle="1" w:styleId="PO160" w:type="character">
    <w:name w:val="批注框文本 Char"/>
    <w:basedOn w:val="PO2"/>
    <w:link w:val="PO159"/>
    <w:uiPriority w:val="160"/>
    <w:semiHidden/>
    <w:rPr>
      <w:shd w:val="clear"/>
      <w:sz w:val="18"/>
      <w:szCs w:val="18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854372441.png"></Relationship><Relationship Id="rId6" Type="http://schemas.openxmlformats.org/officeDocument/2006/relationships/hyperlink" Target="" TargetMode="External"></Relationship><Relationship Id="rId7" Type="http://schemas.openxmlformats.org/officeDocument/2006/relationships/hyperlink" Target="" TargetMode="External"></Relationship><Relationship Id="rId8" Type="http://schemas.openxmlformats.org/officeDocument/2006/relationships/hyperlink" Target="" TargetMode="External"></Relationship><Relationship Id="rId9" Type="http://schemas.openxmlformats.org/officeDocument/2006/relationships/hyperlink" Target="" TargetMode="External"></Relationship><Relationship Id="rId10" Type="http://schemas.openxmlformats.org/officeDocument/2006/relationships/hyperlink" Target="" TargetMode="External"></Relationship><Relationship Id="rId11" Type="http://schemas.openxmlformats.org/officeDocument/2006/relationships/hyperlink" Target="" TargetMode="External"></Relationship><Relationship Id="rId12" Type="http://schemas.openxmlformats.org/officeDocument/2006/relationships/hyperlink" Target="" TargetMode="External"></Relationship><Relationship Id="rId13" Type="http://schemas.openxmlformats.org/officeDocument/2006/relationships/hyperlink" Target="" TargetMode="External"></Relationship><Relationship Id="rId14" Type="http://schemas.openxmlformats.org/officeDocument/2006/relationships/hyperlink" Target="" TargetMode="External"></Relationship><Relationship Id="rId15" Type="http://schemas.openxmlformats.org/officeDocument/2006/relationships/hyperlink" Target="" TargetMode="External"></Relationship><Relationship Id="rId16" Type="http://schemas.openxmlformats.org/officeDocument/2006/relationships/hyperlink" Target="" TargetMode="External"></Relationship><Relationship Id="rId17" Type="http://schemas.openxmlformats.org/officeDocument/2006/relationships/image" Target="media/image2.png"></Relationship><Relationship Id="rId18" Type="http://schemas.openxmlformats.org/officeDocument/2006/relationships/image" Target="media/image3.png"></Relationship><Relationship Id="rId19" Type="http://schemas.openxmlformats.org/officeDocument/2006/relationships/image" Target="media/image4.png"></Relationship><Relationship Id="rId20" Type="http://schemas.openxmlformats.org/officeDocument/2006/relationships/image" Target="media/image5.png"></Relationship><Relationship Id="rId21" Type="http://schemas.openxmlformats.org/officeDocument/2006/relationships/image" Target="media/image6.png"></Relationship><Relationship Id="rId22" Type="http://schemas.openxmlformats.org/officeDocument/2006/relationships/image" Target="media/image7.png"></Relationship><Relationship Id="rId23" Type="http://schemas.openxmlformats.org/officeDocument/2006/relationships/header" Target="header2.xml"></Relationship><Relationship Id="rId24" Type="http://schemas.openxmlformats.org/officeDocument/2006/relationships/footer" Target="footer3.xml"></Relationship><Relationship Id="rId25" Type="http://schemas.openxmlformats.org/officeDocument/2006/relationships/numbering" Target="numbering.xml"></Relationship><Relationship Id="rId2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20</Lines>
  <LinksUpToDate>false</LinksUpToDate>
  <Pages>6</Pages>
  <Paragraphs>5</Paragraphs>
  <Words>428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张汉魁</dc:creator>
  <cp:lastModifiedBy/>
  <dcterms:modified xsi:type="dcterms:W3CDTF">2018-01-02T04:16:00Z</dcterms:modified>
</cp:coreProperties>
</file>